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both"/>
        <w:rPr>
          <w:rFonts w:hint="eastAsia" w:ascii="黑体" w:hAnsi="黑体" w:eastAsia="黑体" w:cs="黑体"/>
          <w:b/>
          <w:bCs/>
          <w:color w:val="auto"/>
          <w:spacing w:val="27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27"/>
          <w:kern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7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7"/>
          <w:kern w:val="0"/>
          <w:sz w:val="32"/>
          <w:szCs w:val="32"/>
          <w:lang w:val="en-US" w:eastAsia="zh-CN"/>
        </w:rPr>
        <w:t>相关知识解答</w:t>
      </w:r>
    </w:p>
    <w:p>
      <w:pPr>
        <w:widowControl/>
        <w:shd w:val="clear" w:color="auto" w:fill="FFFFFF"/>
        <w:adjustRightInd w:val="0"/>
        <w:snapToGrid w:val="0"/>
        <w:ind w:firstLine="669" w:firstLineChars="200"/>
        <w:rPr>
          <w:rFonts w:hint="eastAsia" w:ascii="华文仿宋" w:hAnsi="华文仿宋" w:eastAsia="华文仿宋" w:cs="华文仿宋"/>
          <w:b/>
          <w:color w:val="auto"/>
          <w:spacing w:val="27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b w:val="0"/>
          <w:bCs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pacing w:val="27"/>
          <w:kern w:val="0"/>
          <w:sz w:val="28"/>
          <w:szCs w:val="28"/>
        </w:rPr>
        <w:t>请各位老师提前了解有关流程及事项，如有疑惑可在钉钉“纳税人云课堂（高校）”群里咨询税务局的专家。</w:t>
      </w:r>
    </w:p>
    <w:p>
      <w:pPr>
        <w:widowControl/>
        <w:shd w:val="clear" w:color="auto" w:fill="FFFFFF"/>
        <w:adjustRightInd w:val="0"/>
        <w:snapToGrid w:val="0"/>
        <w:ind w:firstLine="594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ind w:firstLine="670" w:firstLineChars="200"/>
        <w:rPr>
          <w:rFonts w:hint="eastAsia" w:ascii="方正仿宋简体" w:hAnsi="方正仿宋简体" w:eastAsia="方正仿宋简体" w:cs="方正仿宋简体"/>
          <w:b/>
          <w:color w:val="auto"/>
          <w:spacing w:val="27"/>
          <w:sz w:val="28"/>
          <w:szCs w:val="28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sz w:val="28"/>
          <w:szCs w:val="28"/>
          <w:shd w:val="clear" w:color="auto" w:fill="FFFFFF"/>
        </w:rPr>
        <w:t>一、个税综合所得汇算清缴是什么？</w:t>
      </w:r>
    </w:p>
    <w:p>
      <w:pPr>
        <w:widowControl/>
        <w:shd w:val="clear" w:color="auto" w:fill="FFFFFF"/>
        <w:snapToGrid w:val="0"/>
        <w:ind w:firstLine="48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纳税人在汇算清缴期内，对上一年综合所得（工资薪金所得、劳务报酬、稿酬与特许权使用费）的预缴税款进行清算，</w:t>
      </w: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  <w:t>多退少补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napToGrid w:val="0"/>
        <w:jc w:val="center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drawing>
          <wp:inline distT="0" distB="0" distL="0" distR="0">
            <wp:extent cx="3829050" cy="2148205"/>
            <wp:effectExtent l="0" t="0" r="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76" cy="215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napToGrid w:val="0"/>
        <w:ind w:firstLine="670" w:firstLineChars="200"/>
        <w:rPr>
          <w:rFonts w:hint="eastAsia" w:ascii="方正仿宋简体" w:hAnsi="方正仿宋简体" w:eastAsia="方正仿宋简体" w:cs="方正仿宋简体"/>
          <w:b/>
          <w:color w:val="auto"/>
          <w:spacing w:val="27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napToGrid w:val="0"/>
        <w:ind w:firstLine="670" w:firstLineChars="200"/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sz w:val="28"/>
          <w:szCs w:val="28"/>
          <w:shd w:val="clear" w:color="auto" w:fill="FFFFFF"/>
        </w:rPr>
        <w:t>二、</w:t>
      </w: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  <w:t>操作流程</w:t>
      </w:r>
    </w:p>
    <w:p>
      <w:pPr>
        <w:widowControl/>
        <w:shd w:val="clear" w:color="auto" w:fill="FFFFFF"/>
        <w:adjustRightInd w:val="0"/>
        <w:snapToGrid w:val="0"/>
        <w:ind w:firstLine="668" w:firstLineChars="200"/>
        <w:outlineLvl w:val="1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请各位老师用手机登录 “个人所得税”APP，根据APP内</w:t>
      </w: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  <w:t>“综合所得年度汇算”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引导进行相关操作，具体操作流程见附件1。</w:t>
      </w:r>
    </w:p>
    <w:p>
      <w:pPr>
        <w:pStyle w:val="2"/>
        <w:ind w:firstLine="670" w:firstLineChars="200"/>
        <w:rPr>
          <w:rFonts w:hint="eastAsia" w:ascii="方正仿宋简体" w:hAnsi="方正仿宋简体" w:eastAsia="方正仿宋简体" w:cs="方正仿宋简体"/>
          <w:b/>
          <w:color w:val="auto"/>
          <w:spacing w:val="27"/>
          <w:sz w:val="28"/>
          <w:szCs w:val="28"/>
          <w:shd w:val="clear" w:color="auto" w:fill="FFFFFF"/>
        </w:rPr>
      </w:pPr>
    </w:p>
    <w:p>
      <w:pPr>
        <w:pStyle w:val="2"/>
        <w:ind w:firstLine="670" w:firstLineChars="200"/>
        <w:rPr>
          <w:rFonts w:hint="eastAsia" w:ascii="方正仿宋简体" w:hAnsi="方正仿宋简体" w:eastAsia="方正仿宋简体" w:cs="方正仿宋简体"/>
          <w:b/>
          <w:color w:val="auto"/>
          <w:spacing w:val="27"/>
          <w:sz w:val="28"/>
          <w:szCs w:val="28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sz w:val="28"/>
          <w:szCs w:val="28"/>
          <w:shd w:val="clear" w:color="auto" w:fill="FFFFFF"/>
        </w:rPr>
        <w:t>三、注意事项</w:t>
      </w:r>
    </w:p>
    <w:p>
      <w:pPr>
        <w:widowControl/>
        <w:shd w:val="clear" w:color="auto" w:fill="FFFFFF"/>
        <w:snapToGrid w:val="0"/>
        <w:ind w:firstLine="594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  <w:t xml:space="preserve">01 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 xml:space="preserve"> 核对综合所得收入</w:t>
      </w:r>
    </w:p>
    <w:p>
      <w:pPr>
        <w:widowControl/>
        <w:shd w:val="clear" w:color="auto" w:fill="FFFFFF"/>
        <w:snapToGrid w:val="0"/>
        <w:ind w:firstLine="48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综合所得包含工资薪金、劳务报酬、稿酬、特许权使用费等四项所得。</w:t>
      </w:r>
    </w:p>
    <w:p>
      <w:pPr>
        <w:widowControl/>
        <w:shd w:val="clear" w:color="auto" w:fill="FFFFFF"/>
        <w:snapToGrid w:val="0"/>
        <w:ind w:firstLine="48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（1）工资薪金中，奖金计税方式有两种选择，请分别勾选试算个税，</w:t>
      </w: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  <w:t>选择对自己有利的方案合理避税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，具体操作见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  <w:lang w:eastAsia="zh-CN"/>
        </w:rPr>
        <w:t>“年度汇算自行申报指引(手机App端)操作指引”（以下简称操作指引）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的P10。</w:t>
      </w:r>
    </w:p>
    <w:p>
      <w:pPr>
        <w:widowControl/>
        <w:shd w:val="clear" w:color="auto" w:fill="FFFFFF"/>
        <w:snapToGrid w:val="0"/>
        <w:ind w:firstLine="48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（2）核对劳务和稿酬等外单位发放数据，如数据与本人取得有出入可修改，详细操作见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  <w:lang w:eastAsia="zh-CN"/>
        </w:rPr>
        <w:t>操作指引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的P11和P2。</w:t>
      </w:r>
    </w:p>
    <w:p>
      <w:pPr>
        <w:widowControl/>
        <w:shd w:val="clear" w:color="auto" w:fill="FFFFFF"/>
        <w:snapToGrid w:val="0"/>
        <w:ind w:firstLine="48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ind w:firstLine="594" w:firstLineChars="200"/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  <w:t xml:space="preserve">02 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 xml:space="preserve"> 核对并补报2019年减免项</w:t>
      </w:r>
    </w:p>
    <w:p>
      <w:pPr>
        <w:widowControl/>
        <w:shd w:val="clear" w:color="auto" w:fill="FFFFFF"/>
        <w:snapToGrid w:val="0"/>
        <w:ind w:firstLine="670" w:firstLineChars="200"/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  <w:t>强调：以下补报仅适用于2019年度发生的事项。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（1）未填过专项附件扣除信息。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（2）中期修改过专项附加扣除中子女教育信息。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（2）发生大病医疗。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（3）个人购买商业健康保险、税收递延型商业养老保险，见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  <w:lang w:eastAsia="zh-CN"/>
        </w:rPr>
        <w:t>操作指引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的P13。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（4）个人有公益慈善捐赠，见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  <w:lang w:eastAsia="zh-CN"/>
        </w:rPr>
        <w:t>操作指引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的P14。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（5）残疾、孤老人员和烈属等的减免税事项，见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  <w:lang w:eastAsia="zh-CN"/>
        </w:rPr>
        <w:t>操作指引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的P15。</w:t>
      </w:r>
    </w:p>
    <w:p>
      <w:pPr>
        <w:widowControl/>
        <w:shd w:val="clear" w:color="auto" w:fill="FFFFFF"/>
        <w:snapToGrid w:val="0"/>
        <w:ind w:firstLine="594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ind w:firstLine="594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  <w:t xml:space="preserve">03 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 xml:space="preserve"> 更改作废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b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汇算清缴操作失误，可更改或作废，见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  <w:lang w:eastAsia="zh-CN"/>
        </w:rPr>
        <w:t>操作指引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的P20。</w:t>
      </w:r>
    </w:p>
    <w:p>
      <w:pPr>
        <w:widowControl/>
        <w:shd w:val="clear" w:color="auto" w:fill="FFFFFF"/>
        <w:snapToGrid w:val="0"/>
        <w:ind w:firstLine="480"/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ind w:firstLine="594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  <w:t xml:space="preserve">04 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 xml:space="preserve"> 退税常见情形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（1）各月收入差距大，有可能产生退税。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（2）专项附加扣除信息不完整。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（3）年收入不足6万元但已经预缴了税款，可以全额退税。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（4）从其他单位取得过劳务报酬、稿酬、特许权使用费等收入，预扣率高于全年综合所得年适用税率。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（5）没有任职受雇单位，仅取得劳务报酬、稿酬、特许权使用费所得，需要通过年度汇算办理各种税前扣除的。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ind w:firstLine="594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  <w:t xml:space="preserve">05  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补税常见情形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（1）在两个以上单位任职受雇并领取工资薪金，预缴税款时重复扣除了基本减除费用（5000 元/月）。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（2）除工资薪金外，还有劳务报酬、稿酬、特许权使用费，各项综合所得的收入加总后，导致适用综合所得年税率高于预扣率。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（3）纳税人取得综合所得，未预扣预缴税款，需补充申报收入等。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ind w:firstLine="594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8"/>
          <w:kern w:val="0"/>
          <w:sz w:val="28"/>
          <w:szCs w:val="28"/>
        </w:rPr>
        <w:t xml:space="preserve">06  </w:t>
      </w: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承担责任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如果是您属于需要退税的，是否办理年度汇算申请退税是您的权利，无需承担任何责任。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如果您是属于应当补税的，办理年度汇算是您的义务。根据税收征管法第六十二条，纳税人未按照规定期限办理纳税申报和报送纳税资料的，由税务机关责令限期改正，可以处 2000 元以下的罚款；情节严重的，可以处 2000 元以上 1 万元以下的罚款，并追缴税款、加征滞纳金。滞纳金则从超过缴纳期限之日起，按日加收滞纳税款万分之五。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</w:p>
    <w:p>
      <w:pPr>
        <w:pStyle w:val="2"/>
        <w:ind w:firstLine="670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pacing w:val="27"/>
          <w:sz w:val="28"/>
          <w:szCs w:val="28"/>
          <w:shd w:val="clear" w:color="auto" w:fill="FFFFFF"/>
        </w:rPr>
        <w:t>四、咨询方式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国家税务总局官方纳税服务热线：12366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太谷县税务局 “纳税人云课堂（高校）”钉钉群</w:t>
      </w:r>
    </w:p>
    <w:p>
      <w:pPr>
        <w:widowControl/>
        <w:shd w:val="clear" w:color="auto" w:fill="FFFFFF"/>
        <w:snapToGrid w:val="0"/>
        <w:ind w:firstLine="668" w:firstLineChars="200"/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27"/>
          <w:kern w:val="0"/>
          <w:sz w:val="28"/>
          <w:szCs w:val="28"/>
        </w:rPr>
        <w:t>计财处工资收费科  6288396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3FD8"/>
    <w:rsid w:val="0F175A5A"/>
    <w:rsid w:val="1D541D4B"/>
    <w:rsid w:val="575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2020-04-20T03:17:00Z</dcterms:created>
  <dc:creator>lenovo</dc:creator>
  <cp:lastModifiedBy>lenovo</cp:lastModifiedBy>
  <cp:lastPrinted>2020-04-20T06:08:11Z</cp:lastPrinted>
  <dcterms:modified xsi:type="dcterms:W3CDTF">2020-04-20T06:16:06Z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